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1F0C" w14:textId="77777777" w:rsidR="000A07B1" w:rsidRDefault="000A07B1" w:rsidP="00FF1E16">
      <w:pPr>
        <w:jc w:val="center"/>
        <w:rPr>
          <w:rFonts w:eastAsia="Arial Unicode MS" w:cs="Arial Unicode MS"/>
          <w:bCs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F8F630" w14:textId="5DDCCD4E" w:rsidR="002C1C01" w:rsidRPr="00D879E3" w:rsidRDefault="002C1C01" w:rsidP="00FF1E16">
      <w:pPr>
        <w:jc w:val="center"/>
        <w:rPr>
          <w:rFonts w:eastAsia="Arial Unicode MS" w:cs="Arial Unicode MS"/>
          <w:bCs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77">
        <w:rPr>
          <w:b/>
          <w:noProof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0CA957E" wp14:editId="5801B5A6">
            <wp:simplePos x="0" y="0"/>
            <wp:positionH relativeFrom="margin">
              <wp:align>center</wp:align>
            </wp:positionH>
            <wp:positionV relativeFrom="page">
              <wp:posOffset>206470</wp:posOffset>
            </wp:positionV>
            <wp:extent cx="39528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48" y="21405"/>
                <wp:lineTo x="21548" y="0"/>
                <wp:lineTo x="0" y="0"/>
              </wp:wrapPolygon>
            </wp:wrapTight>
            <wp:docPr id="3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9E3">
        <w:rPr>
          <w:rFonts w:eastAsia="Arial Unicode MS" w:cs="Arial Unicode MS"/>
          <w:bCs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Internal Control Unit</w:t>
      </w:r>
    </w:p>
    <w:p w14:paraId="690934F9" w14:textId="43C878BD" w:rsidR="002C1C01" w:rsidRPr="00D879E3" w:rsidRDefault="002C1C01" w:rsidP="002C1C01">
      <w:pPr>
        <w:spacing w:after="0" w:line="510" w:lineRule="atLeast"/>
        <w:jc w:val="center"/>
        <w:textAlignment w:val="baseline"/>
        <w:outlineLvl w:val="1"/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9E3"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SAIC </w:t>
      </w:r>
      <w:r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Internal </w:t>
      </w:r>
      <w:r w:rsidRPr="00BE36C9"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Corrective Action Plan </w:t>
      </w:r>
      <w:r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(ICAP) Form v 2.</w:t>
      </w:r>
      <w:r w:rsidR="006F47C7">
        <w:rPr>
          <w:rFonts w:eastAsia="Arial Unicode MS" w:cs="Arial Unicode MS"/>
          <w:bCs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14234BD" w14:textId="3CE90DD5" w:rsidR="002C1C01" w:rsidRPr="00116DC2" w:rsidRDefault="002C1C01" w:rsidP="002C1C01">
      <w:pPr>
        <w:spacing w:after="225" w:line="240" w:lineRule="auto"/>
        <w:jc w:val="center"/>
        <w:textAlignment w:val="baseline"/>
        <w:rPr>
          <w:rFonts w:eastAsia="Arial Unicode MS" w:cs="Arial Unicode MS"/>
          <w:color w:val="FF0000"/>
        </w:rPr>
      </w:pPr>
      <w:r w:rsidRPr="00116DC2">
        <w:rPr>
          <w:rFonts w:eastAsia="Arial Unicode MS" w:cs="Arial Unicode MS"/>
          <w:color w:val="FF0000"/>
        </w:rPr>
        <w:t xml:space="preserve">Effective Date: </w:t>
      </w:r>
      <w:r w:rsidR="00902F54">
        <w:rPr>
          <w:rFonts w:eastAsia="Arial Unicode MS" w:cs="Arial Unicode MS"/>
          <w:color w:val="FF0000"/>
        </w:rPr>
        <w:t xml:space="preserve">SAIC </w:t>
      </w:r>
      <w:r w:rsidR="00AE2999">
        <w:rPr>
          <w:rFonts w:eastAsia="Arial Unicode MS" w:cs="Arial Unicode MS"/>
          <w:color w:val="FF0000"/>
        </w:rPr>
        <w:t>2023</w:t>
      </w:r>
    </w:p>
    <w:p w14:paraId="03EDE8F1" w14:textId="2B73BC70" w:rsidR="002C1C01" w:rsidRPr="008C49D3" w:rsidRDefault="002C1C01" w:rsidP="002C1C01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eastAsia="Arial Unicode MS" w:cs="Arial Unicode MS"/>
          <w:color w:val="444444"/>
        </w:rPr>
      </w:pPr>
      <w:r w:rsidRPr="008C49D3">
        <w:rPr>
          <w:rFonts w:eastAsia="Arial Unicode MS" w:cs="Arial Unicode MS"/>
          <w:color w:val="444444"/>
        </w:rPr>
        <w:t xml:space="preserve">The Appointing Authority is responsible for Certifying that the </w:t>
      </w:r>
      <w:r w:rsidRPr="00D456DA">
        <w:rPr>
          <w:rFonts w:eastAsia="Arial Unicode MS" w:cs="Arial Unicode MS"/>
          <w:b/>
          <w:bCs/>
          <w:i/>
          <w:iCs/>
          <w:color w:val="444444"/>
        </w:rPr>
        <w:t>Internal Control Corrective Action Plan (ICAP)</w:t>
      </w:r>
      <w:r>
        <w:rPr>
          <w:rFonts w:eastAsia="Arial Unicode MS" w:cs="Arial Unicode MS"/>
          <w:color w:val="444444"/>
        </w:rPr>
        <w:t xml:space="preserve"> h</w:t>
      </w:r>
      <w:r w:rsidRPr="008C49D3">
        <w:rPr>
          <w:rFonts w:eastAsia="Arial Unicode MS" w:cs="Arial Unicode MS"/>
          <w:color w:val="444444"/>
        </w:rPr>
        <w:t>as been review</w:t>
      </w:r>
      <w:r>
        <w:rPr>
          <w:rFonts w:eastAsia="Arial Unicode MS" w:cs="Arial Unicode MS"/>
          <w:color w:val="444444"/>
        </w:rPr>
        <w:t>ed</w:t>
      </w:r>
      <w:r w:rsidRPr="008C49D3">
        <w:rPr>
          <w:rFonts w:eastAsia="Arial Unicode MS" w:cs="Arial Unicode MS"/>
          <w:color w:val="444444"/>
        </w:rPr>
        <w:t xml:space="preserve"> by the Appointing Authority and </w:t>
      </w:r>
      <w:r>
        <w:rPr>
          <w:rFonts w:eastAsia="Arial Unicode MS" w:cs="Arial Unicode MS"/>
          <w:color w:val="444444"/>
        </w:rPr>
        <w:t xml:space="preserve">the </w:t>
      </w:r>
      <w:r w:rsidRPr="008C49D3">
        <w:rPr>
          <w:rFonts w:eastAsia="Arial Unicode MS" w:cs="Arial Unicode MS"/>
          <w:color w:val="444444"/>
        </w:rPr>
        <w:t xml:space="preserve">Senior Financial Management </w:t>
      </w:r>
      <w:r w:rsidR="00204934">
        <w:rPr>
          <w:rFonts w:eastAsia="Arial Unicode MS" w:cs="Arial Unicode MS"/>
          <w:color w:val="444444"/>
        </w:rPr>
        <w:t xml:space="preserve">of the agency </w:t>
      </w:r>
      <w:r w:rsidRPr="008C49D3">
        <w:rPr>
          <w:rFonts w:eastAsia="Arial Unicode MS" w:cs="Arial Unicode MS"/>
          <w:color w:val="444444"/>
        </w:rPr>
        <w:t>and everyone agree</w:t>
      </w:r>
      <w:r w:rsidR="00204934">
        <w:rPr>
          <w:rFonts w:eastAsia="Arial Unicode MS" w:cs="Arial Unicode MS"/>
          <w:color w:val="444444"/>
        </w:rPr>
        <w:t>d</w:t>
      </w:r>
      <w:r w:rsidRPr="008C49D3">
        <w:rPr>
          <w:rFonts w:eastAsia="Arial Unicode MS" w:cs="Arial Unicode MS"/>
          <w:color w:val="444444"/>
        </w:rPr>
        <w:t xml:space="preserve"> to the proposed Corrective Action Plan. </w:t>
      </w:r>
    </w:p>
    <w:p w14:paraId="590E1474" w14:textId="1B82CEA2" w:rsidR="002C1C01" w:rsidRDefault="00902F54" w:rsidP="002C1C01">
      <w:pPr>
        <w:spacing w:after="0" w:line="240" w:lineRule="auto"/>
        <w:ind w:left="720" w:firstLine="720"/>
      </w:pPr>
      <w:r>
        <w:t>_____________________________________________________________________</w:t>
      </w:r>
    </w:p>
    <w:p w14:paraId="0C339B1B" w14:textId="5E1DA452" w:rsidR="002C1C01" w:rsidRPr="00495697" w:rsidRDefault="002C1C01" w:rsidP="002C1C01">
      <w:pPr>
        <w:pStyle w:val="ListParagraph"/>
        <w:spacing w:after="0" w:line="240" w:lineRule="auto"/>
        <w:ind w:left="1440"/>
        <w:rPr>
          <w:b/>
          <w:bCs/>
          <w:i/>
          <w:iCs/>
          <w:sz w:val="20"/>
          <w:szCs w:val="20"/>
        </w:rPr>
      </w:pPr>
      <w:r w:rsidRPr="00495697">
        <w:rPr>
          <w:b/>
          <w:bCs/>
          <w:i/>
          <w:iCs/>
        </w:rPr>
        <w:t>Printed Name</w:t>
      </w:r>
      <w:r w:rsidR="00902F54">
        <w:rPr>
          <w:b/>
          <w:bCs/>
          <w:i/>
          <w:iCs/>
        </w:rPr>
        <w:t xml:space="preserve"> &amp; T</w:t>
      </w:r>
      <w:r w:rsidRPr="00495697">
        <w:rPr>
          <w:b/>
          <w:bCs/>
          <w:i/>
          <w:iCs/>
        </w:rPr>
        <w:t>itle</w:t>
      </w:r>
      <w:r w:rsidR="00902F54">
        <w:rPr>
          <w:b/>
          <w:bCs/>
          <w:i/>
          <w:iCs/>
        </w:rPr>
        <w:t xml:space="preserve"> </w:t>
      </w:r>
      <w:r w:rsidRPr="00495697">
        <w:rPr>
          <w:b/>
          <w:bCs/>
          <w:i/>
          <w:iCs/>
        </w:rPr>
        <w:t xml:space="preserve">of </w:t>
      </w:r>
      <w:r w:rsidR="00902F54">
        <w:rPr>
          <w:b/>
          <w:bCs/>
          <w:i/>
          <w:iCs/>
        </w:rPr>
        <w:t xml:space="preserve">Top </w:t>
      </w:r>
      <w:r w:rsidRPr="00495697">
        <w:rPr>
          <w:b/>
          <w:bCs/>
          <w:i/>
          <w:iCs/>
        </w:rPr>
        <w:t xml:space="preserve">Appointing Authority </w:t>
      </w:r>
      <w:r w:rsidR="00902F54">
        <w:rPr>
          <w:b/>
          <w:bCs/>
          <w:i/>
          <w:iCs/>
        </w:rPr>
        <w:t>–</w:t>
      </w:r>
      <w:r w:rsidR="004D223E">
        <w:rPr>
          <w:b/>
          <w:bCs/>
          <w:i/>
          <w:iCs/>
        </w:rPr>
        <w:t xml:space="preserve"> </w:t>
      </w:r>
      <w:r w:rsidR="00902F54">
        <w:rPr>
          <w:b/>
          <w:bCs/>
          <w:i/>
          <w:iCs/>
        </w:rPr>
        <w:t>Please Date Document</w:t>
      </w:r>
    </w:p>
    <w:p w14:paraId="32D2230A" w14:textId="77777777" w:rsidR="002C1C01" w:rsidRDefault="002C1C01" w:rsidP="002C1C01">
      <w:pPr>
        <w:pStyle w:val="ListParagraph"/>
        <w:spacing w:after="225" w:line="240" w:lineRule="auto"/>
        <w:ind w:left="1440"/>
        <w:textAlignment w:val="baseline"/>
        <w:rPr>
          <w:sz w:val="20"/>
          <w:szCs w:val="20"/>
        </w:rPr>
      </w:pPr>
    </w:p>
    <w:p w14:paraId="4297145E" w14:textId="3666B990" w:rsidR="002C1C01" w:rsidRPr="008C49D3" w:rsidRDefault="002C1C01" w:rsidP="002C1C01">
      <w:pPr>
        <w:pStyle w:val="ListParagraph"/>
        <w:spacing w:after="225" w:line="240" w:lineRule="auto"/>
        <w:ind w:left="1440"/>
        <w:textAlignment w:val="baseline"/>
        <w:rPr>
          <w:sz w:val="20"/>
          <w:szCs w:val="20"/>
        </w:rPr>
      </w:pPr>
      <w:r w:rsidRPr="008C49D3">
        <w:rPr>
          <w:sz w:val="20"/>
          <w:szCs w:val="20"/>
        </w:rPr>
        <w:t xml:space="preserve">For this </w:t>
      </w:r>
      <w:r>
        <w:rPr>
          <w:sz w:val="20"/>
          <w:szCs w:val="20"/>
        </w:rPr>
        <w:t>ICAP C</w:t>
      </w:r>
      <w:r w:rsidRPr="008C49D3">
        <w:rPr>
          <w:sz w:val="20"/>
          <w:szCs w:val="20"/>
        </w:rPr>
        <w:t xml:space="preserve">ertification, </w:t>
      </w:r>
      <w:r w:rsidR="00902F54">
        <w:rPr>
          <w:sz w:val="20"/>
          <w:szCs w:val="20"/>
        </w:rPr>
        <w:t xml:space="preserve">Top </w:t>
      </w:r>
      <w:r w:rsidRPr="008C49D3">
        <w:rPr>
          <w:sz w:val="20"/>
          <w:szCs w:val="20"/>
        </w:rPr>
        <w:t xml:space="preserve">Appointing Authority refers to elected officials, agency secretaries </w:t>
      </w:r>
      <w:r w:rsidR="00204934">
        <w:rPr>
          <w:sz w:val="20"/>
          <w:szCs w:val="20"/>
        </w:rPr>
        <w:t xml:space="preserve">or </w:t>
      </w:r>
      <w:r w:rsidRPr="008C49D3">
        <w:rPr>
          <w:sz w:val="20"/>
          <w:szCs w:val="20"/>
        </w:rPr>
        <w:t xml:space="preserve">department commissioners, heads of branches, divisions, boards, and commissions not reporting to a department commissioner or agency secretary; this certification responsibility </w:t>
      </w:r>
      <w:r w:rsidRPr="00902F54">
        <w:rPr>
          <w:b/>
          <w:bCs/>
          <w:i/>
          <w:iCs/>
          <w:sz w:val="20"/>
          <w:szCs w:val="20"/>
          <w:u w:val="single"/>
        </w:rPr>
        <w:t>cannot be delegated</w:t>
      </w:r>
      <w:r w:rsidRPr="008C49D3">
        <w:rPr>
          <w:sz w:val="20"/>
          <w:szCs w:val="20"/>
        </w:rPr>
        <w:t xml:space="preserve"> to Deputies or </w:t>
      </w:r>
      <w:r w:rsidR="00902F54">
        <w:rPr>
          <w:sz w:val="20"/>
          <w:szCs w:val="20"/>
        </w:rPr>
        <w:t xml:space="preserve">any </w:t>
      </w:r>
      <w:r w:rsidRPr="008C49D3">
        <w:rPr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="00902F54">
        <w:rPr>
          <w:sz w:val="20"/>
          <w:szCs w:val="20"/>
        </w:rPr>
        <w:t xml:space="preserve">agency </w:t>
      </w:r>
      <w:r>
        <w:rPr>
          <w:sz w:val="20"/>
          <w:szCs w:val="20"/>
        </w:rPr>
        <w:t xml:space="preserve">personnel. </w:t>
      </w:r>
      <w:r w:rsidRPr="008C49D3">
        <w:rPr>
          <w:sz w:val="20"/>
          <w:szCs w:val="20"/>
        </w:rPr>
        <w:t xml:space="preserve"> </w:t>
      </w:r>
    </w:p>
    <w:p w14:paraId="38F53CE8" w14:textId="77777777" w:rsidR="002C1C01" w:rsidRDefault="002C1C01" w:rsidP="002C1C01">
      <w:pPr>
        <w:pStyle w:val="ListParagraph"/>
      </w:pPr>
    </w:p>
    <w:p w14:paraId="332E5331" w14:textId="77777777" w:rsidR="002C1C01" w:rsidRPr="00495697" w:rsidRDefault="002C1C01" w:rsidP="002C1C01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eastAsia="Arial Unicode MS" w:cs="Arial Unicode MS"/>
          <w:b/>
          <w:bCs/>
          <w:i/>
          <w:iCs/>
          <w:color w:val="444444"/>
        </w:rPr>
      </w:pPr>
      <w:r w:rsidRPr="00495697">
        <w:rPr>
          <w:rFonts w:eastAsia="Arial Unicode MS" w:cs="Arial Unicode MS"/>
          <w:b/>
          <w:bCs/>
          <w:i/>
          <w:iCs/>
          <w:color w:val="444444"/>
        </w:rPr>
        <w:t>Electronic Certification Option for Appointing Authority</w:t>
      </w:r>
    </w:p>
    <w:p w14:paraId="133A6083" w14:textId="77777777" w:rsidR="002C1C01" w:rsidRDefault="002C1C01" w:rsidP="002C1C01">
      <w:pPr>
        <w:pStyle w:val="ListParagraph"/>
        <w:spacing w:after="225" w:line="240" w:lineRule="auto"/>
        <w:ind w:left="1440"/>
        <w:textAlignment w:val="baseline"/>
        <w:rPr>
          <w:sz w:val="20"/>
          <w:szCs w:val="20"/>
        </w:rPr>
      </w:pPr>
    </w:p>
    <w:p w14:paraId="41952FAC" w14:textId="08E3C76B" w:rsidR="002C1C01" w:rsidRDefault="002C1C01" w:rsidP="002C1C01">
      <w:pPr>
        <w:pStyle w:val="ListParagraph"/>
        <w:spacing w:after="225" w:line="240" w:lineRule="auto"/>
        <w:ind w:left="1440"/>
        <w:textAlignment w:val="baseline"/>
        <w:rPr>
          <w:rFonts w:eastAsia="Arial Unicode MS" w:cs="Arial Unicode MS"/>
          <w:b/>
          <w:bCs/>
          <w:i/>
          <w:iCs/>
          <w:color w:val="FF000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88EE" wp14:editId="4F09EB7A">
                <wp:simplePos x="0" y="0"/>
                <wp:positionH relativeFrom="column">
                  <wp:posOffset>459436</wp:posOffset>
                </wp:positionH>
                <wp:positionV relativeFrom="paragraph">
                  <wp:posOffset>274320</wp:posOffset>
                </wp:positionV>
                <wp:extent cx="33337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4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808E" w14:textId="77777777" w:rsidR="002C1C01" w:rsidRDefault="002C1C01" w:rsidP="002C1C01">
                            <w: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88EE" id="Rectangle 2" o:spid="_x0000_s1026" style="position:absolute;left:0;text-align:left;margin-left:36.2pt;margin-top:21.6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" fillcolor="red" strokeweight="1.5pt">
                <v:fill opacity="61680f"/>
                <o:lock v:ext="edit" rotation="t" shapetype="t"/>
                <v:textbox>
                  <w:txbxContent>
                    <w:p w14:paraId="3DAD808E" w14:textId="77777777" w:rsidR="002C1C01" w:rsidRDefault="002C1C01" w:rsidP="002C1C01">
                      <w:r>
                        <w:t xml:space="preserve"> X</w:t>
                      </w:r>
                    </w:p>
                  </w:txbxContent>
                </v:textbox>
              </v:rect>
            </w:pict>
          </mc:Fallback>
        </mc:AlternateContent>
      </w:r>
      <w:r w:rsidRPr="00116DC2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accepting </w:t>
      </w:r>
      <w:r w:rsidRPr="00116DC2">
        <w:rPr>
          <w:sz w:val="20"/>
          <w:szCs w:val="20"/>
        </w:rPr>
        <w:t>this box</w:t>
      </w:r>
      <w:r>
        <w:rPr>
          <w:sz w:val="20"/>
          <w:szCs w:val="20"/>
        </w:rPr>
        <w:t xml:space="preserve"> with a </w:t>
      </w:r>
      <w:r w:rsidRPr="00046A12">
        <w:rPr>
          <w:b/>
          <w:bCs/>
          <w:i/>
          <w:iCs/>
          <w:sz w:val="20"/>
          <w:szCs w:val="20"/>
          <w:u w:val="single"/>
        </w:rPr>
        <w:t>prelabeled X mark</w:t>
      </w:r>
      <w:r>
        <w:rPr>
          <w:sz w:val="20"/>
          <w:szCs w:val="20"/>
        </w:rPr>
        <w:t xml:space="preserve">, </w:t>
      </w:r>
      <w:r w:rsidRPr="00116DC2">
        <w:rPr>
          <w:sz w:val="20"/>
          <w:szCs w:val="20"/>
        </w:rPr>
        <w:t xml:space="preserve">I authorize the </w:t>
      </w:r>
      <w:r>
        <w:rPr>
          <w:sz w:val="20"/>
          <w:szCs w:val="20"/>
        </w:rPr>
        <w:t xml:space="preserve">Department of Finance &amp; Management (DFM) </w:t>
      </w:r>
      <w:r w:rsidRPr="00116DC2">
        <w:rPr>
          <w:sz w:val="20"/>
          <w:szCs w:val="20"/>
        </w:rPr>
        <w:t xml:space="preserve">to accept this document transmitted from my </w:t>
      </w:r>
      <w:r w:rsidRPr="004D223E">
        <w:rPr>
          <w:b/>
          <w:bCs/>
          <w:i/>
          <w:iCs/>
          <w:sz w:val="20"/>
          <w:szCs w:val="20"/>
          <w:u w:val="single"/>
        </w:rPr>
        <w:t>state email account as our official ICAP submission</w:t>
      </w:r>
      <w:r w:rsidRPr="00116DC2">
        <w:rPr>
          <w:sz w:val="20"/>
          <w:szCs w:val="20"/>
        </w:rPr>
        <w:t>. In addition, I certify that my name as typed above shall be treated as my written signature for the purposes of certifying this document.</w:t>
      </w:r>
      <w:r>
        <w:rPr>
          <w:sz w:val="20"/>
          <w:szCs w:val="20"/>
        </w:rPr>
        <w:t xml:space="preserve"> </w:t>
      </w:r>
      <w:r w:rsidRPr="00116DC2">
        <w:rPr>
          <w:sz w:val="20"/>
          <w:szCs w:val="20"/>
        </w:rPr>
        <w:t xml:space="preserve">Important:  Email submissions from the Appointing Authority's </w:t>
      </w:r>
      <w:r w:rsidR="004D223E">
        <w:rPr>
          <w:sz w:val="20"/>
          <w:szCs w:val="20"/>
        </w:rPr>
        <w:t>“</w:t>
      </w:r>
      <w:r w:rsidRPr="00116DC2">
        <w:rPr>
          <w:sz w:val="20"/>
          <w:szCs w:val="20"/>
        </w:rPr>
        <w:t>delegate</w:t>
      </w:r>
      <w:r w:rsidR="004D223E">
        <w:rPr>
          <w:sz w:val="20"/>
          <w:szCs w:val="20"/>
        </w:rPr>
        <w:t>”</w:t>
      </w:r>
      <w:r w:rsidRPr="00116DC2">
        <w:rPr>
          <w:sz w:val="20"/>
          <w:szCs w:val="20"/>
        </w:rPr>
        <w:t xml:space="preserve"> (i.e., On Behalf of) or others are </w:t>
      </w:r>
      <w:r w:rsidRPr="004D223E">
        <w:rPr>
          <w:b/>
          <w:bCs/>
          <w:i/>
          <w:iCs/>
          <w:sz w:val="20"/>
          <w:szCs w:val="20"/>
          <w:u w:val="single"/>
        </w:rPr>
        <w:t>NOT</w:t>
      </w:r>
      <w:r w:rsidRPr="00116DC2">
        <w:rPr>
          <w:sz w:val="20"/>
          <w:szCs w:val="20"/>
        </w:rPr>
        <w:t xml:space="preserve"> permitted.</w:t>
      </w:r>
    </w:p>
    <w:p w14:paraId="1352A82A" w14:textId="6C7ED811" w:rsidR="002C1C01" w:rsidRDefault="002C1C01" w:rsidP="002C1C01">
      <w:pPr>
        <w:spacing w:after="225" w:line="240" w:lineRule="auto"/>
        <w:textAlignment w:val="baseline"/>
        <w:rPr>
          <w:rFonts w:eastAsia="Arial Unicode MS" w:cs="Arial Unicode MS"/>
          <w:color w:val="444444"/>
        </w:rPr>
      </w:pPr>
      <w:r w:rsidRPr="00BE36C9">
        <w:rPr>
          <w:rFonts w:eastAsia="Arial Unicode MS" w:cs="Arial Unicode MS"/>
          <w:color w:val="444444"/>
        </w:rPr>
        <w:t>Th</w:t>
      </w:r>
      <w:r>
        <w:rPr>
          <w:rFonts w:eastAsia="Arial Unicode MS" w:cs="Arial Unicode MS"/>
          <w:color w:val="444444"/>
        </w:rPr>
        <w:t xml:space="preserve">is </w:t>
      </w:r>
      <w:r w:rsidRPr="00AA5C31">
        <w:rPr>
          <w:rFonts w:eastAsia="Arial Unicode MS" w:cs="Arial Unicode MS"/>
          <w:b/>
          <w:bCs/>
          <w:i/>
          <w:iCs/>
          <w:color w:val="444444"/>
        </w:rPr>
        <w:t>Internal Corrective Action Plan (ICAP)</w:t>
      </w:r>
      <w:r>
        <w:rPr>
          <w:rFonts w:eastAsia="Arial Unicode MS" w:cs="Arial Unicode MS"/>
          <w:color w:val="444444"/>
        </w:rPr>
        <w:t xml:space="preserve"> form </w:t>
      </w:r>
      <w:r w:rsidRPr="00BE36C9">
        <w:rPr>
          <w:rFonts w:eastAsia="Arial Unicode MS" w:cs="Arial Unicode MS"/>
          <w:color w:val="444444"/>
        </w:rPr>
        <w:t>covers material weakness</w:t>
      </w:r>
      <w:r>
        <w:rPr>
          <w:rFonts w:eastAsia="Arial Unicode MS" w:cs="Arial Unicode MS"/>
          <w:color w:val="444444"/>
        </w:rPr>
        <w:t>es</w:t>
      </w:r>
      <w:r w:rsidRPr="00BE36C9">
        <w:rPr>
          <w:rFonts w:eastAsia="Arial Unicode MS" w:cs="Arial Unicode MS"/>
          <w:color w:val="444444"/>
        </w:rPr>
        <w:t xml:space="preserve">, investigation assigned to, corrective action to be taken, and </w:t>
      </w:r>
      <w:r>
        <w:rPr>
          <w:rFonts w:eastAsia="Arial Unicode MS" w:cs="Arial Unicode MS"/>
          <w:color w:val="444444"/>
        </w:rPr>
        <w:t xml:space="preserve">many other deficiencies that are discovered and identified during the annual </w:t>
      </w:r>
      <w:r w:rsidRPr="00B41C7C">
        <w:rPr>
          <w:rFonts w:eastAsia="Arial Unicode MS" w:cs="Arial Unicode MS"/>
          <w:b/>
          <w:bCs/>
          <w:i/>
          <w:iCs/>
          <w:color w:val="444444"/>
        </w:rPr>
        <w:t>Self-Assessment of Internal Control (SAIC) - Data Validation Review (DVR) Audit</w:t>
      </w:r>
      <w:r>
        <w:rPr>
          <w:rFonts w:eastAsia="Arial Unicode MS" w:cs="Arial Unicode MS"/>
          <w:color w:val="444444"/>
        </w:rPr>
        <w:t xml:space="preserve">. </w:t>
      </w:r>
    </w:p>
    <w:p w14:paraId="6509FC18" w14:textId="7587B817" w:rsidR="002C1C01" w:rsidRPr="00BE36C9" w:rsidRDefault="002C1C01" w:rsidP="002C1C01">
      <w:pPr>
        <w:spacing w:after="225" w:line="240" w:lineRule="auto"/>
        <w:textAlignment w:val="baseline"/>
        <w:rPr>
          <w:rFonts w:eastAsia="Arial Unicode MS" w:cs="Arial Unicode MS"/>
          <w:color w:val="444444"/>
        </w:rPr>
      </w:pPr>
      <w:r w:rsidRPr="00BE36C9">
        <w:rPr>
          <w:rFonts w:eastAsia="Arial Unicode MS" w:cs="Arial Unicode MS"/>
          <w:color w:val="444444"/>
        </w:rPr>
        <w:t xml:space="preserve">As the </w:t>
      </w:r>
      <w:r>
        <w:rPr>
          <w:rFonts w:eastAsia="Arial Unicode MS" w:cs="Arial Unicode MS"/>
          <w:color w:val="444444"/>
        </w:rPr>
        <w:t xml:space="preserve">DVR </w:t>
      </w:r>
      <w:r w:rsidRPr="00BE36C9">
        <w:rPr>
          <w:rFonts w:eastAsia="Arial Unicode MS" w:cs="Arial Unicode MS"/>
          <w:color w:val="444444"/>
        </w:rPr>
        <w:t xml:space="preserve">audit results are discussed, if a </w:t>
      </w:r>
      <w:r>
        <w:rPr>
          <w:rFonts w:eastAsia="Arial Unicode MS" w:cs="Arial Unicode MS"/>
          <w:color w:val="444444"/>
        </w:rPr>
        <w:t xml:space="preserve">“Failed” Scoring decision </w:t>
      </w:r>
      <w:r w:rsidRPr="00BE36C9">
        <w:rPr>
          <w:rFonts w:eastAsia="Arial Unicode MS" w:cs="Arial Unicode MS"/>
          <w:color w:val="444444"/>
        </w:rPr>
        <w:t xml:space="preserve">is </w:t>
      </w:r>
      <w:r>
        <w:rPr>
          <w:rFonts w:eastAsia="Arial Unicode MS" w:cs="Arial Unicode MS"/>
          <w:color w:val="444444"/>
        </w:rPr>
        <w:t xml:space="preserve">received on the SAIC DVR report, </w:t>
      </w:r>
      <w:r w:rsidRPr="00BE36C9">
        <w:rPr>
          <w:rFonts w:eastAsia="Arial Unicode MS" w:cs="Arial Unicode MS"/>
          <w:color w:val="444444"/>
        </w:rPr>
        <w:t xml:space="preserve">the </w:t>
      </w:r>
      <w:r>
        <w:rPr>
          <w:rFonts w:eastAsia="Arial Unicode MS" w:cs="Arial Unicode MS"/>
          <w:color w:val="444444"/>
        </w:rPr>
        <w:t xml:space="preserve">State Agency </w:t>
      </w:r>
      <w:r w:rsidRPr="00BE36C9">
        <w:rPr>
          <w:rFonts w:eastAsia="Arial Unicode MS" w:cs="Arial Unicode MS"/>
          <w:color w:val="444444"/>
        </w:rPr>
        <w:t xml:space="preserve">should list the identified </w:t>
      </w:r>
      <w:r>
        <w:rPr>
          <w:rFonts w:eastAsia="Arial Unicode MS" w:cs="Arial Unicode MS"/>
          <w:color w:val="444444"/>
        </w:rPr>
        <w:t xml:space="preserve">Agency &amp; </w:t>
      </w:r>
      <w:r w:rsidRPr="00BE36C9">
        <w:rPr>
          <w:rFonts w:eastAsia="Arial Unicode MS" w:cs="Arial Unicode MS"/>
          <w:color w:val="444444"/>
        </w:rPr>
        <w:t xml:space="preserve">material weaknesses </w:t>
      </w:r>
      <w:r>
        <w:rPr>
          <w:rFonts w:eastAsia="Arial Unicode MS" w:cs="Arial Unicode MS"/>
          <w:color w:val="444444"/>
        </w:rPr>
        <w:t xml:space="preserve">on the </w:t>
      </w:r>
      <w:r w:rsidRPr="00BE36C9">
        <w:rPr>
          <w:rFonts w:eastAsia="Arial Unicode MS" w:cs="Arial Unicode MS"/>
          <w:color w:val="444444"/>
        </w:rPr>
        <w:t>form</w:t>
      </w:r>
      <w:r>
        <w:rPr>
          <w:rFonts w:eastAsia="Arial Unicode MS" w:cs="Arial Unicode MS"/>
          <w:color w:val="444444"/>
        </w:rPr>
        <w:t xml:space="preserve">. </w:t>
      </w:r>
      <w:r w:rsidR="00E614ED">
        <w:rPr>
          <w:rFonts w:eastAsia="Arial Unicode MS" w:cs="Arial Unicode MS"/>
          <w:color w:val="444444"/>
        </w:rPr>
        <w:t xml:space="preserve">The Agency </w:t>
      </w:r>
      <w:r w:rsidRPr="00BE36C9">
        <w:rPr>
          <w:rFonts w:eastAsia="Arial Unicode MS" w:cs="Arial Unicode MS"/>
          <w:color w:val="444444"/>
        </w:rPr>
        <w:t>sh</w:t>
      </w:r>
      <w:r>
        <w:rPr>
          <w:rFonts w:eastAsia="Arial Unicode MS" w:cs="Arial Unicode MS"/>
          <w:color w:val="444444"/>
        </w:rPr>
        <w:t xml:space="preserve">all </w:t>
      </w:r>
      <w:r w:rsidR="00E614ED">
        <w:rPr>
          <w:rFonts w:eastAsia="Arial Unicode MS" w:cs="Arial Unicode MS"/>
          <w:color w:val="444444"/>
        </w:rPr>
        <w:t xml:space="preserve">assign </w:t>
      </w:r>
      <w:r w:rsidRPr="00BE36C9">
        <w:rPr>
          <w:rFonts w:eastAsia="Arial Unicode MS" w:cs="Arial Unicode MS"/>
          <w:color w:val="444444"/>
        </w:rPr>
        <w:t xml:space="preserve">a tentative time frame for the </w:t>
      </w:r>
      <w:r>
        <w:rPr>
          <w:rFonts w:eastAsia="Arial Unicode MS" w:cs="Arial Unicode MS"/>
          <w:color w:val="444444"/>
        </w:rPr>
        <w:t>Agency</w:t>
      </w:r>
      <w:r w:rsidRPr="00BE36C9">
        <w:rPr>
          <w:rFonts w:eastAsia="Arial Unicode MS" w:cs="Arial Unicode MS"/>
          <w:color w:val="444444"/>
        </w:rPr>
        <w:t xml:space="preserve">’s </w:t>
      </w:r>
      <w:r w:rsidR="004F583C">
        <w:rPr>
          <w:rFonts w:eastAsia="Arial Unicode MS" w:cs="Arial Unicode MS"/>
          <w:color w:val="444444"/>
        </w:rPr>
        <w:t xml:space="preserve">Target </w:t>
      </w:r>
      <w:r>
        <w:rPr>
          <w:rFonts w:eastAsia="Arial Unicode MS" w:cs="Arial Unicode MS"/>
          <w:color w:val="444444"/>
        </w:rPr>
        <w:t xml:space="preserve">completion of the corrective action plan.  </w:t>
      </w:r>
    </w:p>
    <w:p w14:paraId="4B18FE55" w14:textId="5099E332" w:rsidR="002C1C01" w:rsidRPr="00BE36C9" w:rsidRDefault="002C1C01" w:rsidP="002C1C01">
      <w:pPr>
        <w:spacing w:after="225" w:line="240" w:lineRule="auto"/>
        <w:textAlignment w:val="baseline"/>
        <w:rPr>
          <w:rFonts w:eastAsia="Arial Unicode MS" w:cs="Arial Unicode MS"/>
          <w:color w:val="444444"/>
        </w:rPr>
      </w:pPr>
      <w:r w:rsidRPr="00BE36C9">
        <w:rPr>
          <w:rFonts w:eastAsia="Arial Unicode MS" w:cs="Arial Unicode MS"/>
          <w:color w:val="444444"/>
        </w:rPr>
        <w:t xml:space="preserve">The </w:t>
      </w:r>
      <w:r>
        <w:rPr>
          <w:rFonts w:eastAsia="Arial Unicode MS" w:cs="Arial Unicode MS"/>
          <w:color w:val="444444"/>
        </w:rPr>
        <w:t>Agency</w:t>
      </w:r>
      <w:r w:rsidR="00E614ED">
        <w:rPr>
          <w:rFonts w:eastAsia="Arial Unicode MS" w:cs="Arial Unicode MS"/>
          <w:color w:val="444444"/>
        </w:rPr>
        <w:t xml:space="preserve"> </w:t>
      </w:r>
      <w:r w:rsidRPr="00BE36C9">
        <w:rPr>
          <w:rFonts w:eastAsia="Arial Unicode MS" w:cs="Arial Unicode MS"/>
          <w:color w:val="444444"/>
        </w:rPr>
        <w:t>should delegate the investigation of potential corrective actions, not</w:t>
      </w:r>
      <w:r>
        <w:rPr>
          <w:rFonts w:eastAsia="Arial Unicode MS" w:cs="Arial Unicode MS"/>
          <w:color w:val="444444"/>
        </w:rPr>
        <w:t xml:space="preserve">ed from the “Source of Investigation” </w:t>
      </w:r>
      <w:r w:rsidRPr="00BE36C9">
        <w:rPr>
          <w:rFonts w:eastAsia="Arial Unicode MS" w:cs="Arial Unicode MS"/>
          <w:color w:val="444444"/>
        </w:rPr>
        <w:t xml:space="preserve">of the </w:t>
      </w:r>
      <w:r>
        <w:rPr>
          <w:rFonts w:eastAsia="Arial Unicode MS" w:cs="Arial Unicode MS"/>
          <w:color w:val="444444"/>
        </w:rPr>
        <w:t xml:space="preserve">Internal </w:t>
      </w:r>
      <w:r w:rsidRPr="00BE36C9">
        <w:rPr>
          <w:rFonts w:eastAsia="Arial Unicode MS" w:cs="Arial Unicode MS"/>
          <w:color w:val="444444"/>
        </w:rPr>
        <w:t>Corrective Action Plan</w:t>
      </w:r>
      <w:r>
        <w:rPr>
          <w:rFonts w:eastAsia="Arial Unicode MS" w:cs="Arial Unicode MS"/>
          <w:color w:val="444444"/>
        </w:rPr>
        <w:t xml:space="preserve"> (ICAP). T</w:t>
      </w:r>
      <w:r w:rsidRPr="00BE36C9">
        <w:rPr>
          <w:rFonts w:eastAsia="Arial Unicode MS" w:cs="Arial Unicode MS"/>
          <w:color w:val="444444"/>
        </w:rPr>
        <w:t xml:space="preserve">he </w:t>
      </w:r>
      <w:r>
        <w:rPr>
          <w:rFonts w:eastAsia="Arial Unicode MS" w:cs="Arial Unicode MS"/>
          <w:color w:val="444444"/>
        </w:rPr>
        <w:t xml:space="preserve">Agency </w:t>
      </w:r>
      <w:r w:rsidRPr="00BE36C9">
        <w:rPr>
          <w:rFonts w:eastAsia="Arial Unicode MS" w:cs="Arial Unicode MS"/>
          <w:color w:val="444444"/>
        </w:rPr>
        <w:t xml:space="preserve">should ensure that the </w:t>
      </w:r>
      <w:r>
        <w:rPr>
          <w:rFonts w:eastAsia="Arial Unicode MS" w:cs="Arial Unicode MS"/>
          <w:color w:val="444444"/>
        </w:rPr>
        <w:t xml:space="preserve">documentation is completed </w:t>
      </w:r>
      <w:r w:rsidRPr="00BE36C9">
        <w:rPr>
          <w:rFonts w:eastAsia="Arial Unicode MS" w:cs="Arial Unicode MS"/>
          <w:color w:val="444444"/>
        </w:rPr>
        <w:t>in writing</w:t>
      </w:r>
      <w:r>
        <w:rPr>
          <w:rFonts w:eastAsia="Arial Unicode MS" w:cs="Arial Unicode MS"/>
          <w:color w:val="444444"/>
        </w:rPr>
        <w:t>. T</w:t>
      </w:r>
      <w:r w:rsidRPr="00BE36C9">
        <w:rPr>
          <w:rFonts w:eastAsia="Arial Unicode MS" w:cs="Arial Unicode MS"/>
          <w:color w:val="444444"/>
        </w:rPr>
        <w:t xml:space="preserve">he </w:t>
      </w:r>
      <w:r>
        <w:rPr>
          <w:rFonts w:eastAsia="Arial Unicode MS" w:cs="Arial Unicode MS"/>
          <w:color w:val="444444"/>
        </w:rPr>
        <w:t xml:space="preserve">Agency </w:t>
      </w:r>
      <w:r w:rsidRPr="00BE36C9">
        <w:rPr>
          <w:rFonts w:eastAsia="Arial Unicode MS" w:cs="Arial Unicode MS"/>
          <w:color w:val="444444"/>
        </w:rPr>
        <w:t>should determine the appropriate corrective action(s)</w:t>
      </w:r>
      <w:r>
        <w:rPr>
          <w:rFonts w:eastAsia="Arial Unicode MS" w:cs="Arial Unicode MS"/>
          <w:color w:val="444444"/>
        </w:rPr>
        <w:t xml:space="preserve"> and </w:t>
      </w:r>
      <w:r w:rsidRPr="00BE36C9">
        <w:rPr>
          <w:rFonts w:eastAsia="Arial Unicode MS" w:cs="Arial Unicode MS"/>
          <w:color w:val="444444"/>
        </w:rPr>
        <w:t>a target date for completing corrective action</w:t>
      </w:r>
      <w:r>
        <w:rPr>
          <w:rFonts w:eastAsia="Arial Unicode MS" w:cs="Arial Unicode MS"/>
          <w:color w:val="444444"/>
        </w:rPr>
        <w:t xml:space="preserve"> plan</w:t>
      </w:r>
      <w:r w:rsidR="00E614ED">
        <w:rPr>
          <w:rFonts w:eastAsia="Arial Unicode MS" w:cs="Arial Unicode MS"/>
          <w:color w:val="444444"/>
        </w:rPr>
        <w:t xml:space="preserve"> (</w:t>
      </w:r>
      <w:r>
        <w:rPr>
          <w:rFonts w:eastAsia="Arial Unicode MS" w:cs="Arial Unicode MS"/>
          <w:color w:val="444444"/>
        </w:rPr>
        <w:t>s</w:t>
      </w:r>
      <w:r w:rsidR="00E614ED">
        <w:rPr>
          <w:rFonts w:eastAsia="Arial Unicode MS" w:cs="Arial Unicode MS"/>
          <w:color w:val="444444"/>
        </w:rPr>
        <w:t xml:space="preserve">). </w:t>
      </w:r>
    </w:p>
    <w:p w14:paraId="2D41C07B" w14:textId="6F1BFBF4" w:rsidR="002C1C01" w:rsidRPr="007500F4" w:rsidRDefault="002C1C01" w:rsidP="002C1C01">
      <w:pPr>
        <w:shd w:val="clear" w:color="auto" w:fill="FFFFFF"/>
        <w:spacing w:before="150" w:after="150" w:line="240" w:lineRule="auto"/>
        <w:rPr>
          <w:rFonts w:eastAsia="Arial Unicode MS" w:cs="Arial Unicode MS"/>
          <w:color w:val="444444"/>
        </w:rPr>
      </w:pPr>
      <w:r>
        <w:rPr>
          <w:rFonts w:eastAsia="Arial Unicode MS" w:cs="Arial Unicode MS"/>
          <w:color w:val="333333"/>
        </w:rPr>
        <w:t xml:space="preserve">These updates shall </w:t>
      </w:r>
      <w:r w:rsidRPr="00D879E3">
        <w:rPr>
          <w:rFonts w:eastAsia="Arial Unicode MS" w:cs="Arial Unicode MS"/>
          <w:color w:val="333333"/>
        </w:rPr>
        <w:t>be received by the I</w:t>
      </w:r>
      <w:r>
        <w:rPr>
          <w:rFonts w:eastAsia="Arial Unicode MS" w:cs="Arial Unicode MS"/>
          <w:color w:val="333333"/>
        </w:rPr>
        <w:t xml:space="preserve">nternal Control </w:t>
      </w:r>
      <w:r w:rsidRPr="00D879E3">
        <w:rPr>
          <w:rFonts w:eastAsia="Arial Unicode MS" w:cs="Arial Unicode MS"/>
          <w:color w:val="333333"/>
        </w:rPr>
        <w:t xml:space="preserve">Unit </w:t>
      </w:r>
      <w:r>
        <w:rPr>
          <w:rFonts w:eastAsia="Arial Unicode MS" w:cs="Arial Unicode MS"/>
          <w:color w:val="333333"/>
        </w:rPr>
        <w:t xml:space="preserve">and </w:t>
      </w:r>
      <w:r w:rsidRPr="007500F4">
        <w:rPr>
          <w:rFonts w:eastAsia="Arial Unicode MS" w:cs="Arial Unicode MS"/>
          <w:color w:val="444444"/>
        </w:rPr>
        <w:t>must contain:</w:t>
      </w:r>
    </w:p>
    <w:p w14:paraId="4E81FBC9" w14:textId="77777777" w:rsidR="002C1C01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t>Any additional deficiencies identified since the previous corrective action plan</w:t>
      </w:r>
      <w:r>
        <w:rPr>
          <w:rFonts w:eastAsia="Arial Unicode MS" w:cs="Arial Unicode MS"/>
          <w:color w:val="444444"/>
        </w:rPr>
        <w:t xml:space="preserve">. </w:t>
      </w:r>
    </w:p>
    <w:p w14:paraId="396FDAAC" w14:textId="77777777" w:rsidR="002C1C01" w:rsidRPr="007500F4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t>Documentation that a deficiency has been corrected</w:t>
      </w:r>
      <w:r>
        <w:rPr>
          <w:rFonts w:eastAsia="Arial Unicode MS" w:cs="Arial Unicode MS"/>
          <w:color w:val="444444"/>
        </w:rPr>
        <w:t xml:space="preserve"> and removed from the plan. </w:t>
      </w:r>
    </w:p>
    <w:p w14:paraId="06DF093E" w14:textId="77777777" w:rsidR="002C1C01" w:rsidRPr="007500F4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t>Any changes to planned corrective actions for previously reported deficiencies.</w:t>
      </w:r>
    </w:p>
    <w:p w14:paraId="7A957346" w14:textId="77777777" w:rsidR="002C1C01" w:rsidRPr="007500F4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t>Specific description and identification of each deficiency</w:t>
      </w:r>
      <w:r>
        <w:rPr>
          <w:rFonts w:eastAsia="Arial Unicode MS" w:cs="Arial Unicode MS"/>
          <w:color w:val="444444"/>
        </w:rPr>
        <w:t xml:space="preserve">.  </w:t>
      </w:r>
    </w:p>
    <w:p w14:paraId="504EDA0C" w14:textId="77777777" w:rsidR="002C1C01" w:rsidRPr="007500F4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lastRenderedPageBreak/>
        <w:t>Magnitude of each deficiency, if appropriate,</w:t>
      </w:r>
      <w:r>
        <w:rPr>
          <w:rFonts w:eastAsia="Arial Unicode MS" w:cs="Arial Unicode MS"/>
          <w:color w:val="444444"/>
        </w:rPr>
        <w:t xml:space="preserve"> </w:t>
      </w:r>
      <w:r w:rsidRPr="007500F4">
        <w:rPr>
          <w:rFonts w:eastAsia="Arial Unicode MS" w:cs="Arial Unicode MS"/>
          <w:color w:val="444444"/>
        </w:rPr>
        <w:t>Geographic extent of the deficiency (e.g., Statewide</w:t>
      </w:r>
      <w:r>
        <w:rPr>
          <w:rFonts w:eastAsia="Arial Unicode MS" w:cs="Arial Unicode MS"/>
          <w:color w:val="444444"/>
        </w:rPr>
        <w:t xml:space="preserve"> project</w:t>
      </w:r>
      <w:r w:rsidRPr="007500F4">
        <w:rPr>
          <w:rFonts w:eastAsia="Arial Unicode MS" w:cs="Arial Unicode MS"/>
          <w:color w:val="444444"/>
        </w:rPr>
        <w:t xml:space="preserve"> area or management unit - specific project areas in which the deficiency occur</w:t>
      </w:r>
      <w:r>
        <w:rPr>
          <w:rFonts w:eastAsia="Arial Unicode MS" w:cs="Arial Unicode MS"/>
          <w:color w:val="444444"/>
        </w:rPr>
        <w:t>red</w:t>
      </w:r>
      <w:r w:rsidRPr="007500F4">
        <w:rPr>
          <w:rFonts w:eastAsia="Arial Unicode MS" w:cs="Arial Unicode MS"/>
          <w:color w:val="444444"/>
        </w:rPr>
        <w:t>)</w:t>
      </w:r>
      <w:r>
        <w:rPr>
          <w:rFonts w:eastAsia="Arial Unicode MS" w:cs="Arial Unicode MS"/>
          <w:color w:val="444444"/>
        </w:rPr>
        <w:t xml:space="preserve">. </w:t>
      </w:r>
    </w:p>
    <w:p w14:paraId="08DCF792" w14:textId="77777777" w:rsidR="002C1C01" w:rsidRPr="007500F4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Arial Unicode MS" w:cs="Arial Unicode MS"/>
          <w:color w:val="444444"/>
        </w:rPr>
      </w:pPr>
      <w:r>
        <w:rPr>
          <w:rFonts w:eastAsia="Arial Unicode MS" w:cs="Arial Unicode MS"/>
          <w:color w:val="444444"/>
        </w:rPr>
        <w:t>I</w:t>
      </w:r>
      <w:r w:rsidRPr="007500F4">
        <w:rPr>
          <w:rFonts w:eastAsia="Arial Unicode MS" w:cs="Arial Unicode MS"/>
          <w:color w:val="444444"/>
        </w:rPr>
        <w:t>dentification of any action already completed to eliminate the deficiency</w:t>
      </w:r>
      <w:r>
        <w:rPr>
          <w:rFonts w:eastAsia="Arial Unicode MS" w:cs="Arial Unicode MS"/>
          <w:color w:val="444444"/>
        </w:rPr>
        <w:t xml:space="preserve">. </w:t>
      </w:r>
    </w:p>
    <w:p w14:paraId="7A9AFFF3" w14:textId="77777777" w:rsidR="002C1C01" w:rsidRDefault="002C1C01" w:rsidP="002C1C0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Arial Unicode MS" w:cs="Arial Unicode MS"/>
          <w:color w:val="444444"/>
        </w:rPr>
      </w:pPr>
      <w:r w:rsidRPr="007500F4">
        <w:rPr>
          <w:rFonts w:eastAsia="Arial Unicode MS" w:cs="Arial Unicode MS"/>
          <w:color w:val="444444"/>
        </w:rPr>
        <w:t>For each deficiency, a description of the way the </w:t>
      </w:r>
      <w:hyperlink r:id="rId8" w:history="1">
        <w:r w:rsidRPr="007500F4">
          <w:rPr>
            <w:rFonts w:eastAsia="Arial Unicode MS" w:cs="Arial Unicode MS"/>
            <w:color w:val="444444"/>
          </w:rPr>
          <w:t>State</w:t>
        </w:r>
      </w:hyperlink>
      <w:r w:rsidRPr="007500F4">
        <w:rPr>
          <w:rFonts w:eastAsia="Arial Unicode MS" w:cs="Arial Unicode MS"/>
          <w:color w:val="444444"/>
        </w:rPr>
        <w:t xml:space="preserve"> agency will monitor and evaluate the effectiveness of the corrective action in eliminating the deficiency. </w:t>
      </w:r>
    </w:p>
    <w:p w14:paraId="2759F8CD" w14:textId="77777777" w:rsidR="002C1C01" w:rsidRDefault="002C1C01" w:rsidP="002C1C01">
      <w:pPr>
        <w:pStyle w:val="ListParagraph"/>
        <w:shd w:val="clear" w:color="auto" w:fill="FFFFFF"/>
        <w:spacing w:before="150" w:after="150" w:line="240" w:lineRule="auto"/>
        <w:ind w:left="0"/>
        <w:rPr>
          <w:rFonts w:eastAsia="Arial Unicode MS" w:cs="Arial Unicode MS"/>
          <w:color w:val="444444"/>
        </w:rPr>
      </w:pPr>
    </w:p>
    <w:p w14:paraId="41AA9D20" w14:textId="77777777" w:rsidR="002C1C01" w:rsidRDefault="002C1C01" w:rsidP="002C1C01">
      <w:pPr>
        <w:pStyle w:val="ListParagraph"/>
        <w:shd w:val="clear" w:color="auto" w:fill="FFFFFF"/>
        <w:spacing w:before="150" w:after="150" w:line="240" w:lineRule="auto"/>
        <w:ind w:left="0"/>
        <w:rPr>
          <w:b/>
          <w:bCs/>
          <w:sz w:val="24"/>
          <w:szCs w:val="24"/>
          <w:highlight w:val="lightGray"/>
        </w:rPr>
      </w:pPr>
      <w:r>
        <w:rPr>
          <w:rFonts w:eastAsia="Arial Unicode MS" w:cs="Arial Unicode MS"/>
          <w:color w:val="444444"/>
        </w:rPr>
        <w:t>A</w:t>
      </w:r>
      <w:r w:rsidRPr="00762F8F">
        <w:rPr>
          <w:rFonts w:eastAsia="Arial Unicode MS" w:cs="Arial Unicode MS"/>
          <w:color w:val="444444"/>
        </w:rPr>
        <w:t xml:space="preserve">gencies </w:t>
      </w:r>
      <w:r>
        <w:rPr>
          <w:rFonts w:eastAsia="Arial Unicode MS" w:cs="Arial Unicode MS"/>
          <w:color w:val="444444"/>
        </w:rPr>
        <w:t xml:space="preserve">shall </w:t>
      </w:r>
      <w:r w:rsidRPr="00762F8F">
        <w:rPr>
          <w:rFonts w:eastAsia="Arial Unicode MS" w:cs="Arial Unicode MS"/>
          <w:color w:val="444444"/>
        </w:rPr>
        <w:t>be held accountable for the</w:t>
      </w:r>
      <w:r>
        <w:rPr>
          <w:rFonts w:eastAsia="Arial Unicode MS" w:cs="Arial Unicode MS"/>
          <w:color w:val="444444"/>
        </w:rPr>
        <w:t xml:space="preserve">ir </w:t>
      </w:r>
      <w:r w:rsidRPr="00762F8F">
        <w:rPr>
          <w:rFonts w:eastAsia="Arial Unicode MS" w:cs="Arial Unicode MS"/>
          <w:color w:val="444444"/>
        </w:rPr>
        <w:t>efficien</w:t>
      </w:r>
      <w:r>
        <w:rPr>
          <w:rFonts w:eastAsia="Arial Unicode MS" w:cs="Arial Unicode MS"/>
          <w:color w:val="444444"/>
        </w:rPr>
        <w:t xml:space="preserve">cy </w:t>
      </w:r>
      <w:r w:rsidRPr="00762F8F">
        <w:rPr>
          <w:rFonts w:eastAsia="Arial Unicode MS" w:cs="Arial Unicode MS"/>
          <w:color w:val="444444"/>
        </w:rPr>
        <w:t xml:space="preserve">and </w:t>
      </w:r>
      <w:r>
        <w:rPr>
          <w:rFonts w:eastAsia="Arial Unicode MS" w:cs="Arial Unicode MS"/>
          <w:color w:val="444444"/>
        </w:rPr>
        <w:t xml:space="preserve">effectiveness of their </w:t>
      </w:r>
      <w:r w:rsidRPr="00762F8F">
        <w:rPr>
          <w:rFonts w:eastAsia="Arial Unicode MS" w:cs="Arial Unicode MS"/>
          <w:color w:val="444444"/>
        </w:rPr>
        <w:t>operation</w:t>
      </w:r>
      <w:r>
        <w:rPr>
          <w:rFonts w:eastAsia="Arial Unicode MS" w:cs="Arial Unicode MS"/>
          <w:color w:val="444444"/>
        </w:rPr>
        <w:t xml:space="preserve">s. Please email the ICAP Form to the DFM Internal Control Unit at </w:t>
      </w:r>
      <w:hyperlink r:id="rId9" w:history="1">
        <w:r>
          <w:rPr>
            <w:rStyle w:val="Hyperlink"/>
            <w:rFonts w:eastAsia="Arial Unicode MS" w:cs="Arial Unicode MS"/>
          </w:rPr>
          <w:t>jeffrey.montgomery@vermont.gov</w:t>
        </w:r>
      </w:hyperlink>
      <w:r>
        <w:rPr>
          <w:rFonts w:eastAsia="Arial Unicode MS" w:cs="Arial Unicode MS"/>
          <w:color w:val="444444"/>
        </w:rPr>
        <w:t xml:space="preserve"> or if there are any questions.   </w:t>
      </w:r>
    </w:p>
    <w:p w14:paraId="5E509E45" w14:textId="255593A9" w:rsidR="00DF472D" w:rsidRDefault="002C1C01" w:rsidP="00931CDD">
      <w:pPr>
        <w:jc w:val="center"/>
        <w:rPr>
          <w:b/>
          <w:bCs/>
          <w:sz w:val="24"/>
          <w:szCs w:val="24"/>
        </w:rPr>
      </w:pPr>
      <w:r w:rsidRPr="006F47C7">
        <w:rPr>
          <w:b/>
          <w:bCs/>
          <w:sz w:val="24"/>
          <w:szCs w:val="24"/>
        </w:rPr>
        <w:t>DFM SAIC ICAP Form, v 2.</w:t>
      </w:r>
      <w:r w:rsidR="006F47C7" w:rsidRPr="006F47C7">
        <w:rPr>
          <w:b/>
          <w:bCs/>
          <w:sz w:val="24"/>
          <w:szCs w:val="24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931CDD" w:rsidRPr="00931CDD" w14:paraId="04F310E0" w14:textId="77777777" w:rsidTr="00931CDD">
        <w:trPr>
          <w:trHeight w:val="1187"/>
          <w:jc w:val="center"/>
        </w:trPr>
        <w:tc>
          <w:tcPr>
            <w:tcW w:w="1435" w:type="dxa"/>
          </w:tcPr>
          <w:p w14:paraId="303E8D0D" w14:textId="66D0C40F" w:rsidR="00931CDD" w:rsidRPr="00E614ED" w:rsidRDefault="00931CDD" w:rsidP="00E614ED">
            <w:pPr>
              <w:rPr>
                <w:i/>
                <w:iCs/>
                <w:sz w:val="24"/>
                <w:szCs w:val="24"/>
              </w:rPr>
            </w:pPr>
            <w:r w:rsidRPr="00E614ED">
              <w:rPr>
                <w:i/>
                <w:iCs/>
                <w:sz w:val="24"/>
                <w:szCs w:val="24"/>
              </w:rPr>
              <w:t>Agency &amp; Material (s) Weakness:</w:t>
            </w:r>
          </w:p>
          <w:p w14:paraId="48F10EA1" w14:textId="77777777" w:rsidR="00931CDD" w:rsidRPr="00931CDD" w:rsidRDefault="00931CDD" w:rsidP="002C1C0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3C6A4136" w14:textId="7E10520E" w:rsidR="00931CDD" w:rsidRPr="00931CDD" w:rsidRDefault="00931CDD" w:rsidP="00931CDD">
            <w:pPr>
              <w:jc w:val="center"/>
              <w:rPr>
                <w:i/>
                <w:iCs/>
                <w:sz w:val="24"/>
                <w:szCs w:val="24"/>
              </w:rPr>
            </w:pPr>
            <w:r w:rsidRPr="00931CDD">
              <w:rPr>
                <w:i/>
                <w:iCs/>
                <w:sz w:val="24"/>
                <w:szCs w:val="24"/>
              </w:rPr>
              <w:t>Source of Investigation:</w:t>
            </w:r>
          </w:p>
          <w:p w14:paraId="62CB0BC1" w14:textId="5328D6A0" w:rsidR="00931CDD" w:rsidRPr="00931CDD" w:rsidRDefault="00931CDD" w:rsidP="00931CDD">
            <w:pPr>
              <w:jc w:val="center"/>
              <w:rPr>
                <w:i/>
                <w:iCs/>
                <w:sz w:val="24"/>
                <w:szCs w:val="24"/>
              </w:rPr>
            </w:pPr>
            <w:r w:rsidRPr="00931CDD">
              <w:rPr>
                <w:i/>
                <w:iCs/>
                <w:sz w:val="24"/>
                <w:szCs w:val="24"/>
              </w:rPr>
              <w:t>Source is SAIC DVR Audit Review, unless otherwise stated.</w:t>
            </w:r>
          </w:p>
        </w:tc>
        <w:tc>
          <w:tcPr>
            <w:tcW w:w="2338" w:type="dxa"/>
          </w:tcPr>
          <w:p w14:paraId="5AEC14FB" w14:textId="60BE958F" w:rsidR="00931CDD" w:rsidRPr="00931CDD" w:rsidRDefault="00931CDD" w:rsidP="00931CDD">
            <w:pPr>
              <w:jc w:val="center"/>
              <w:rPr>
                <w:i/>
                <w:iCs/>
                <w:sz w:val="24"/>
                <w:szCs w:val="24"/>
              </w:rPr>
            </w:pPr>
            <w:r w:rsidRPr="00931CDD">
              <w:rPr>
                <w:i/>
                <w:iCs/>
                <w:sz w:val="24"/>
                <w:szCs w:val="24"/>
              </w:rPr>
              <w:t>Corrective Action (s) to be taken to resolve weakness:</w:t>
            </w:r>
          </w:p>
          <w:p w14:paraId="228EE014" w14:textId="77777777" w:rsidR="00931CDD" w:rsidRPr="00931CDD" w:rsidRDefault="00931CDD" w:rsidP="00931CD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36BD0B" w14:textId="0A7C7C33" w:rsidR="00931CDD" w:rsidRPr="00931CDD" w:rsidRDefault="00931CDD" w:rsidP="00931CDD">
            <w:pPr>
              <w:jc w:val="center"/>
              <w:rPr>
                <w:i/>
                <w:iCs/>
              </w:rPr>
            </w:pPr>
            <w:r w:rsidRPr="00931CDD">
              <w:rPr>
                <w:i/>
                <w:iCs/>
                <w:sz w:val="24"/>
                <w:szCs w:val="24"/>
              </w:rPr>
              <w:t>Target date to implement ICAP resolution:</w:t>
            </w:r>
          </w:p>
          <w:p w14:paraId="5E37277F" w14:textId="77777777" w:rsidR="00931CDD" w:rsidRPr="00931CDD" w:rsidRDefault="00931CDD" w:rsidP="00931CD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696E3DEE" w14:textId="77777777" w:rsidR="00931CDD" w:rsidRDefault="00931CDD" w:rsidP="00931CDD">
      <w:pPr>
        <w:jc w:val="center"/>
        <w:rPr>
          <w:b/>
          <w:bCs/>
          <w:sz w:val="24"/>
          <w:szCs w:val="24"/>
        </w:rPr>
      </w:pPr>
    </w:p>
    <w:p w14:paraId="311A254D" w14:textId="5CB44A45" w:rsidR="00931CDD" w:rsidRDefault="006E21B8" w:rsidP="00931C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---- </w:t>
      </w:r>
      <w:r w:rsidR="00931CDD" w:rsidRPr="006F47C7">
        <w:rPr>
          <w:b/>
          <w:bCs/>
          <w:sz w:val="24"/>
          <w:szCs w:val="24"/>
        </w:rPr>
        <w:t xml:space="preserve">DFM </w:t>
      </w:r>
      <w:r>
        <w:rPr>
          <w:b/>
          <w:bCs/>
          <w:sz w:val="24"/>
          <w:szCs w:val="24"/>
        </w:rPr>
        <w:t xml:space="preserve">EXAMPLE INPUT </w:t>
      </w:r>
      <w:r w:rsidR="00931CDD">
        <w:rPr>
          <w:b/>
          <w:bCs/>
          <w:sz w:val="24"/>
          <w:szCs w:val="24"/>
        </w:rPr>
        <w:t xml:space="preserve">DATA </w:t>
      </w:r>
      <w:r>
        <w:rPr>
          <w:b/>
          <w:bCs/>
          <w:sz w:val="24"/>
          <w:szCs w:val="24"/>
        </w:rPr>
        <w:t>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931CDD" w:rsidRPr="006E21B8" w14:paraId="71645000" w14:textId="77777777" w:rsidTr="00DF1626">
        <w:trPr>
          <w:trHeight w:val="1115"/>
          <w:jc w:val="center"/>
        </w:trPr>
        <w:tc>
          <w:tcPr>
            <w:tcW w:w="1435" w:type="dxa"/>
          </w:tcPr>
          <w:p w14:paraId="1CD31729" w14:textId="77777777" w:rsidR="00931CDD" w:rsidRPr="006E21B8" w:rsidRDefault="00931CDD" w:rsidP="002C1C01">
            <w:pPr>
              <w:rPr>
                <w:sz w:val="20"/>
                <w:szCs w:val="20"/>
              </w:rPr>
            </w:pPr>
            <w:bookmarkStart w:id="0" w:name="_Hlk147843545"/>
          </w:p>
          <w:p w14:paraId="6109062E" w14:textId="7E8A38D6" w:rsidR="00931CDD" w:rsidRPr="006E21B8" w:rsidRDefault="006E21B8" w:rsidP="002C1C01">
            <w:pPr>
              <w:rPr>
                <w:sz w:val="20"/>
                <w:szCs w:val="20"/>
              </w:rPr>
            </w:pPr>
            <w:r w:rsidRPr="006E21B8">
              <w:rPr>
                <w:sz w:val="20"/>
                <w:szCs w:val="20"/>
              </w:rPr>
              <w:t>DFM SAIC 202</w:t>
            </w:r>
            <w:r>
              <w:rPr>
                <w:sz w:val="20"/>
                <w:szCs w:val="20"/>
              </w:rPr>
              <w:t>x</w:t>
            </w:r>
            <w:r w:rsidRPr="006E21B8">
              <w:rPr>
                <w:sz w:val="20"/>
                <w:szCs w:val="20"/>
              </w:rPr>
              <w:t xml:space="preserve"> Question </w:t>
            </w:r>
            <w:r>
              <w:rPr>
                <w:sz w:val="20"/>
                <w:szCs w:val="20"/>
              </w:rPr>
              <w:t xml:space="preserve"># </w:t>
            </w:r>
            <w:r w:rsidRPr="006E21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Employee Separation Listing</w:t>
            </w:r>
          </w:p>
          <w:p w14:paraId="104621BC" w14:textId="77777777" w:rsidR="00931CDD" w:rsidRPr="006E21B8" w:rsidRDefault="00931CDD" w:rsidP="002C1C01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14:paraId="6D88DE7E" w14:textId="1319FFE0" w:rsidR="00931CDD" w:rsidRPr="006E21B8" w:rsidRDefault="006E21B8" w:rsidP="002C1C01">
            <w:pPr>
              <w:rPr>
                <w:sz w:val="20"/>
                <w:szCs w:val="20"/>
              </w:rPr>
            </w:pPr>
            <w:r w:rsidRPr="006E21B8">
              <w:rPr>
                <w:rFonts w:cstheme="minorHAnsi"/>
                <w:sz w:val="20"/>
                <w:szCs w:val="20"/>
              </w:rPr>
              <w:t xml:space="preserve">Credible evidence to validate a YES response for the question or control being tested </w:t>
            </w:r>
            <w:r w:rsidRPr="006E21B8">
              <w:rPr>
                <w:rFonts w:cstheme="minorHAnsi"/>
                <w:i/>
                <w:iCs/>
                <w:sz w:val="20"/>
                <w:szCs w:val="20"/>
              </w:rPr>
              <w:t>was not fully presented</w:t>
            </w:r>
            <w:r w:rsidRPr="006E21B8">
              <w:rPr>
                <w:rFonts w:cstheme="minorHAnsi"/>
                <w:sz w:val="20"/>
                <w:szCs w:val="20"/>
              </w:rPr>
              <w:t xml:space="preserve"> so the question failed. SAIC was answered as "Yes" but limited documentation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21B8">
              <w:rPr>
                <w:rFonts w:cstheme="minorHAnsi"/>
                <w:sz w:val="20"/>
                <w:szCs w:val="20"/>
              </w:rPr>
              <w:t>evident from the DVR Review Audit.</w:t>
            </w:r>
          </w:p>
        </w:tc>
        <w:tc>
          <w:tcPr>
            <w:tcW w:w="2338" w:type="dxa"/>
          </w:tcPr>
          <w:p w14:paraId="4AEB85ED" w14:textId="77777777" w:rsidR="006E21B8" w:rsidRDefault="006E21B8" w:rsidP="002C1C01">
            <w:pPr>
              <w:rPr>
                <w:sz w:val="20"/>
                <w:szCs w:val="20"/>
              </w:rPr>
            </w:pPr>
          </w:p>
          <w:p w14:paraId="1AD7C5E7" w14:textId="77777777" w:rsidR="006E21B8" w:rsidRDefault="006E21B8" w:rsidP="002C1C01">
            <w:pPr>
              <w:rPr>
                <w:sz w:val="20"/>
                <w:szCs w:val="20"/>
              </w:rPr>
            </w:pPr>
          </w:p>
          <w:p w14:paraId="36CC86A1" w14:textId="28B28DAB" w:rsidR="00931CDD" w:rsidRPr="006E21B8" w:rsidRDefault="006E21B8" w:rsidP="002C1C01">
            <w:pPr>
              <w:rPr>
                <w:sz w:val="20"/>
                <w:szCs w:val="20"/>
              </w:rPr>
            </w:pPr>
            <w:r w:rsidRPr="006E21B8">
              <w:rPr>
                <w:sz w:val="20"/>
                <w:szCs w:val="20"/>
              </w:rPr>
              <w:t xml:space="preserve">We’ve attached our plan of action for future </w:t>
            </w:r>
            <w:r>
              <w:rPr>
                <w:sz w:val="20"/>
                <w:szCs w:val="20"/>
              </w:rPr>
              <w:t>Internal Control SAIC C</w:t>
            </w:r>
            <w:r w:rsidRPr="006E21B8">
              <w:rPr>
                <w:sz w:val="20"/>
                <w:szCs w:val="20"/>
              </w:rPr>
              <w:t>ompliance.</w:t>
            </w:r>
          </w:p>
        </w:tc>
        <w:tc>
          <w:tcPr>
            <w:tcW w:w="2338" w:type="dxa"/>
          </w:tcPr>
          <w:p w14:paraId="5DA59D6C" w14:textId="77777777" w:rsidR="006E21B8" w:rsidRDefault="006E21B8" w:rsidP="002C1C01">
            <w:pPr>
              <w:rPr>
                <w:sz w:val="20"/>
                <w:szCs w:val="20"/>
              </w:rPr>
            </w:pPr>
          </w:p>
          <w:p w14:paraId="59A44F58" w14:textId="77777777" w:rsidR="006E21B8" w:rsidRDefault="006E21B8" w:rsidP="002C1C01">
            <w:pPr>
              <w:rPr>
                <w:sz w:val="20"/>
                <w:szCs w:val="20"/>
              </w:rPr>
            </w:pPr>
          </w:p>
          <w:p w14:paraId="5F5595E5" w14:textId="7746291E" w:rsidR="00931CDD" w:rsidRPr="006E21B8" w:rsidRDefault="006E21B8" w:rsidP="002C1C01">
            <w:pPr>
              <w:rPr>
                <w:sz w:val="20"/>
                <w:szCs w:val="20"/>
              </w:rPr>
            </w:pPr>
            <w:r w:rsidRPr="006E21B8">
              <w:rPr>
                <w:sz w:val="20"/>
                <w:szCs w:val="20"/>
              </w:rPr>
              <w:t xml:space="preserve">Estimated ICAP correction will be in place by Year-End of 202x.  </w:t>
            </w:r>
          </w:p>
        </w:tc>
      </w:tr>
      <w:bookmarkEnd w:id="0"/>
    </w:tbl>
    <w:p w14:paraId="4B04D5F1" w14:textId="77777777" w:rsidR="00491C79" w:rsidRDefault="00491C79" w:rsidP="00491C79">
      <w:pPr>
        <w:jc w:val="center"/>
        <w:rPr>
          <w:b/>
          <w:bCs/>
          <w:sz w:val="24"/>
          <w:szCs w:val="24"/>
        </w:rPr>
      </w:pPr>
    </w:p>
    <w:p w14:paraId="433C9D23" w14:textId="641DE01A" w:rsidR="00491C79" w:rsidRDefault="00491C79" w:rsidP="00491C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Agency’s Response to Identified Deficiencies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931CDD" w14:paraId="42603EA5" w14:textId="77777777" w:rsidTr="00DF1626">
        <w:trPr>
          <w:trHeight w:val="1115"/>
          <w:jc w:val="center"/>
        </w:trPr>
        <w:tc>
          <w:tcPr>
            <w:tcW w:w="1435" w:type="dxa"/>
          </w:tcPr>
          <w:p w14:paraId="5CA65A8A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74EC4F19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A372A9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728B8C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1CDD" w14:paraId="6E2900F6" w14:textId="77777777" w:rsidTr="00DF1626">
        <w:trPr>
          <w:trHeight w:val="1115"/>
          <w:jc w:val="center"/>
        </w:trPr>
        <w:tc>
          <w:tcPr>
            <w:tcW w:w="1435" w:type="dxa"/>
          </w:tcPr>
          <w:p w14:paraId="0150100B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77843023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37AD1F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F94DC2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1CDD" w14:paraId="2E607DC0" w14:textId="77777777" w:rsidTr="00DF1626">
        <w:trPr>
          <w:trHeight w:val="1115"/>
          <w:jc w:val="center"/>
        </w:trPr>
        <w:tc>
          <w:tcPr>
            <w:tcW w:w="1435" w:type="dxa"/>
          </w:tcPr>
          <w:p w14:paraId="3616D661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252B0834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E678DF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B7F5E0" w14:textId="77777777" w:rsidR="00931CDD" w:rsidRDefault="00931CDD" w:rsidP="00A6684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AA04A6" w14:textId="77777777" w:rsidR="00931CDD" w:rsidRDefault="00931CDD" w:rsidP="00931CDD">
      <w:pPr>
        <w:rPr>
          <w:b/>
          <w:bCs/>
          <w:sz w:val="24"/>
          <w:szCs w:val="24"/>
        </w:rPr>
      </w:pPr>
    </w:p>
    <w:p w14:paraId="14458B4D" w14:textId="77777777" w:rsidR="00931CDD" w:rsidRDefault="00931CDD" w:rsidP="00931CDD">
      <w:pPr>
        <w:rPr>
          <w:b/>
          <w:bCs/>
          <w:sz w:val="24"/>
          <w:szCs w:val="24"/>
        </w:rPr>
      </w:pPr>
    </w:p>
    <w:p w14:paraId="05EAFA28" w14:textId="585BCABF" w:rsidR="00931CDD" w:rsidRPr="00931CDD" w:rsidRDefault="00931CDD" w:rsidP="00931CDD">
      <w:pPr>
        <w:jc w:val="center"/>
        <w:rPr>
          <w:b/>
          <w:bCs/>
          <w:sz w:val="32"/>
          <w:szCs w:val="32"/>
        </w:rPr>
      </w:pPr>
      <w:r w:rsidRPr="00931CDD">
        <w:rPr>
          <w:i/>
          <w:iCs/>
          <w:color w:val="FF0000"/>
          <w:sz w:val="24"/>
          <w:szCs w:val="24"/>
        </w:rPr>
        <w:t>Please use additional sheets if necessary</w:t>
      </w:r>
    </w:p>
    <w:sectPr w:rsidR="00931CDD" w:rsidRPr="00931C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FAFD" w14:textId="77777777" w:rsidR="0010787B" w:rsidRDefault="0010787B" w:rsidP="0010787B">
      <w:pPr>
        <w:spacing w:after="0" w:line="240" w:lineRule="auto"/>
      </w:pPr>
      <w:r>
        <w:separator/>
      </w:r>
    </w:p>
  </w:endnote>
  <w:endnote w:type="continuationSeparator" w:id="0">
    <w:p w14:paraId="42FCBD5D" w14:textId="77777777" w:rsidR="0010787B" w:rsidRDefault="0010787B" w:rsidP="0010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8DE0" w14:textId="77777777" w:rsidR="0010787B" w:rsidRPr="00491C79" w:rsidRDefault="0010787B">
    <w:pPr>
      <w:pStyle w:val="Footer"/>
      <w:jc w:val="center"/>
      <w:rPr>
        <w:b/>
        <w:bCs/>
      </w:rPr>
    </w:pPr>
    <w:r w:rsidRPr="00491C79">
      <w:rPr>
        <w:b/>
        <w:bCs/>
      </w:rPr>
      <w:t xml:space="preserve">Page </w:t>
    </w:r>
    <w:r w:rsidRPr="00491C79">
      <w:rPr>
        <w:b/>
        <w:bCs/>
      </w:rPr>
      <w:fldChar w:fldCharType="begin"/>
    </w:r>
    <w:r w:rsidRPr="00491C79">
      <w:rPr>
        <w:b/>
        <w:bCs/>
      </w:rPr>
      <w:instrText xml:space="preserve"> PAGE  \* Arabic  \* MERGEFORMAT </w:instrText>
    </w:r>
    <w:r w:rsidRPr="00491C79">
      <w:rPr>
        <w:b/>
        <w:bCs/>
      </w:rPr>
      <w:fldChar w:fldCharType="separate"/>
    </w:r>
    <w:r w:rsidRPr="00491C79">
      <w:rPr>
        <w:b/>
        <w:bCs/>
        <w:noProof/>
      </w:rPr>
      <w:t>2</w:t>
    </w:r>
    <w:r w:rsidRPr="00491C79">
      <w:rPr>
        <w:b/>
        <w:bCs/>
      </w:rPr>
      <w:fldChar w:fldCharType="end"/>
    </w:r>
    <w:r w:rsidRPr="00491C79">
      <w:rPr>
        <w:b/>
        <w:bCs/>
      </w:rPr>
      <w:t xml:space="preserve"> of </w:t>
    </w:r>
    <w:r w:rsidRPr="00491C79">
      <w:rPr>
        <w:b/>
        <w:bCs/>
      </w:rPr>
      <w:fldChar w:fldCharType="begin"/>
    </w:r>
    <w:r w:rsidRPr="00491C79">
      <w:rPr>
        <w:b/>
        <w:bCs/>
      </w:rPr>
      <w:instrText xml:space="preserve"> NUMPAGES  \* Arabic  \* MERGEFORMAT </w:instrText>
    </w:r>
    <w:r w:rsidRPr="00491C79">
      <w:rPr>
        <w:b/>
        <w:bCs/>
      </w:rPr>
      <w:fldChar w:fldCharType="separate"/>
    </w:r>
    <w:r w:rsidRPr="00491C79">
      <w:rPr>
        <w:b/>
        <w:bCs/>
        <w:noProof/>
      </w:rPr>
      <w:t>2</w:t>
    </w:r>
    <w:r w:rsidRPr="00491C79">
      <w:rPr>
        <w:b/>
        <w:bCs/>
      </w:rPr>
      <w:fldChar w:fldCharType="end"/>
    </w:r>
  </w:p>
  <w:p w14:paraId="0082E6BB" w14:textId="77777777" w:rsidR="0010787B" w:rsidRDefault="0010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1F3A" w14:textId="77777777" w:rsidR="0010787B" w:rsidRDefault="0010787B" w:rsidP="0010787B">
      <w:pPr>
        <w:spacing w:after="0" w:line="240" w:lineRule="auto"/>
      </w:pPr>
      <w:r>
        <w:separator/>
      </w:r>
    </w:p>
  </w:footnote>
  <w:footnote w:type="continuationSeparator" w:id="0">
    <w:p w14:paraId="31D4B762" w14:textId="77777777" w:rsidR="0010787B" w:rsidRDefault="0010787B" w:rsidP="0010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810"/>
    <w:multiLevelType w:val="hybridMultilevel"/>
    <w:tmpl w:val="9C5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F62"/>
    <w:multiLevelType w:val="hybridMultilevel"/>
    <w:tmpl w:val="AEB63016"/>
    <w:lvl w:ilvl="0" w:tplc="1D12AD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1D2"/>
    <w:multiLevelType w:val="hybridMultilevel"/>
    <w:tmpl w:val="AEB6301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51426"/>
    <w:multiLevelType w:val="hybridMultilevel"/>
    <w:tmpl w:val="288CE934"/>
    <w:lvl w:ilvl="0" w:tplc="416C2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00FB"/>
    <w:multiLevelType w:val="hybridMultilevel"/>
    <w:tmpl w:val="9A4A8D38"/>
    <w:lvl w:ilvl="0" w:tplc="04090001">
      <w:start w:val="1"/>
      <w:numFmt w:val="bullet"/>
      <w:lvlText w:val=""/>
      <w:lvlJc w:val="left"/>
      <w:pPr>
        <w:ind w:left="630" w:hanging="39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171C"/>
    <w:multiLevelType w:val="hybridMultilevel"/>
    <w:tmpl w:val="6700D99E"/>
    <w:lvl w:ilvl="0" w:tplc="A5E2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625343">
    <w:abstractNumId w:val="4"/>
  </w:num>
  <w:num w:numId="2" w16cid:durableId="1562985655">
    <w:abstractNumId w:val="5"/>
  </w:num>
  <w:num w:numId="3" w16cid:durableId="1206328508">
    <w:abstractNumId w:val="1"/>
  </w:num>
  <w:num w:numId="4" w16cid:durableId="234094782">
    <w:abstractNumId w:val="2"/>
  </w:num>
  <w:num w:numId="5" w16cid:durableId="723528957">
    <w:abstractNumId w:val="3"/>
  </w:num>
  <w:num w:numId="6" w16cid:durableId="111917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DE"/>
    <w:rsid w:val="00033D3E"/>
    <w:rsid w:val="000948B4"/>
    <w:rsid w:val="000A07B1"/>
    <w:rsid w:val="000F0E30"/>
    <w:rsid w:val="0010787B"/>
    <w:rsid w:val="00136EAF"/>
    <w:rsid w:val="00156F77"/>
    <w:rsid w:val="00175E39"/>
    <w:rsid w:val="00204934"/>
    <w:rsid w:val="002C1C01"/>
    <w:rsid w:val="002E0E09"/>
    <w:rsid w:val="002F04B0"/>
    <w:rsid w:val="00333D83"/>
    <w:rsid w:val="00336649"/>
    <w:rsid w:val="00387AA7"/>
    <w:rsid w:val="00392B2E"/>
    <w:rsid w:val="003C04CC"/>
    <w:rsid w:val="0041379D"/>
    <w:rsid w:val="0043383C"/>
    <w:rsid w:val="00447C73"/>
    <w:rsid w:val="00472C37"/>
    <w:rsid w:val="00491096"/>
    <w:rsid w:val="00491C79"/>
    <w:rsid w:val="004D223E"/>
    <w:rsid w:val="004F583C"/>
    <w:rsid w:val="005449C2"/>
    <w:rsid w:val="00590D54"/>
    <w:rsid w:val="005D601A"/>
    <w:rsid w:val="005E432F"/>
    <w:rsid w:val="00627F63"/>
    <w:rsid w:val="006E21B8"/>
    <w:rsid w:val="006F47C7"/>
    <w:rsid w:val="00867428"/>
    <w:rsid w:val="008D03AF"/>
    <w:rsid w:val="008D645F"/>
    <w:rsid w:val="00902F54"/>
    <w:rsid w:val="00931CDD"/>
    <w:rsid w:val="00973CE9"/>
    <w:rsid w:val="009D5689"/>
    <w:rsid w:val="00A15C7D"/>
    <w:rsid w:val="00AA737A"/>
    <w:rsid w:val="00AC7398"/>
    <w:rsid w:val="00AE2999"/>
    <w:rsid w:val="00B33433"/>
    <w:rsid w:val="00B34DD0"/>
    <w:rsid w:val="00B4345E"/>
    <w:rsid w:val="00B644CE"/>
    <w:rsid w:val="00B843D1"/>
    <w:rsid w:val="00C01542"/>
    <w:rsid w:val="00C347E9"/>
    <w:rsid w:val="00C5045B"/>
    <w:rsid w:val="00C642D0"/>
    <w:rsid w:val="00CA1435"/>
    <w:rsid w:val="00CF657E"/>
    <w:rsid w:val="00D93E65"/>
    <w:rsid w:val="00DA6D01"/>
    <w:rsid w:val="00DF1626"/>
    <w:rsid w:val="00DF472D"/>
    <w:rsid w:val="00E562DE"/>
    <w:rsid w:val="00E614ED"/>
    <w:rsid w:val="00EF0AE4"/>
    <w:rsid w:val="00FC3C35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F21"/>
  <w15:chartTrackingRefBased/>
  <w15:docId w15:val="{B7489327-AB3B-488F-9385-FB9DFA4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7B"/>
  </w:style>
  <w:style w:type="paragraph" w:styleId="Footer">
    <w:name w:val="footer"/>
    <w:basedOn w:val="Normal"/>
    <w:link w:val="FooterChar"/>
    <w:uiPriority w:val="99"/>
    <w:unhideWhenUsed/>
    <w:rsid w:val="0010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7B"/>
  </w:style>
  <w:style w:type="table" w:styleId="TableGrid">
    <w:name w:val="Table Grid"/>
    <w:basedOn w:val="TableNormal"/>
    <w:uiPriority w:val="39"/>
    <w:rsid w:val="0093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7/275.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rey.montgomery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Jeffrey</dc:creator>
  <cp:keywords/>
  <dc:description/>
  <cp:lastModifiedBy>Montgomery, Jeffrey</cp:lastModifiedBy>
  <cp:revision>61</cp:revision>
  <dcterms:created xsi:type="dcterms:W3CDTF">2022-12-08T15:58:00Z</dcterms:created>
  <dcterms:modified xsi:type="dcterms:W3CDTF">2023-10-11T14:17:00Z</dcterms:modified>
</cp:coreProperties>
</file>